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4" w:type="dxa"/>
        <w:jc w:val="center"/>
        <w:tblInd w:w="534" w:type="dxa"/>
        <w:tblLayout w:type="fixed"/>
        <w:tblLook w:val="04A0"/>
      </w:tblPr>
      <w:tblGrid>
        <w:gridCol w:w="1004"/>
        <w:gridCol w:w="5650"/>
      </w:tblGrid>
      <w:tr w:rsidR="00C00604" w:rsidTr="00FE5E16">
        <w:trPr>
          <w:trHeight w:val="691"/>
          <w:jc w:val="center"/>
        </w:trPr>
        <w:tc>
          <w:tcPr>
            <w:tcW w:w="1004" w:type="dxa"/>
          </w:tcPr>
          <w:p w:rsidR="00C00604" w:rsidRDefault="0075762D" w:rsidP="00C00604">
            <w:pPr>
              <w:pStyle w:val="aa"/>
              <w:jc w:val="center"/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718185" cy="326390"/>
                  <wp:effectExtent l="0" t="0" r="0" b="0"/>
                  <wp:docPr id="1" name="Рисунок 2" descr="E:\Саранка\сайт\Саранка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Саранка\сайт\Саранка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</w:tcPr>
          <w:p w:rsidR="00C00604" w:rsidRPr="00C00604" w:rsidRDefault="00C00604" w:rsidP="00C00604">
            <w:pPr>
              <w:pStyle w:val="aa"/>
              <w:jc w:val="center"/>
            </w:pPr>
            <w:r w:rsidRPr="00C00604">
              <w:t>Автономная некоммерческая организация</w:t>
            </w:r>
          </w:p>
          <w:p w:rsidR="00C00604" w:rsidRDefault="00C00604" w:rsidP="00C00604">
            <w:pPr>
              <w:pStyle w:val="aa"/>
              <w:jc w:val="center"/>
            </w:pPr>
            <w:r w:rsidRPr="00C00604">
              <w:t>социального обслуживания населения «</w:t>
            </w:r>
            <w:proofErr w:type="spellStart"/>
            <w:r w:rsidRPr="00C00604">
              <w:t>Саранка</w:t>
            </w:r>
            <w:proofErr w:type="spellEnd"/>
            <w:r w:rsidRPr="00C00604">
              <w:t>»</w:t>
            </w:r>
          </w:p>
        </w:tc>
      </w:tr>
    </w:tbl>
    <w:p w:rsidR="00AD49B2" w:rsidRPr="001A34EC" w:rsidRDefault="00AD49B2" w:rsidP="00AD49B2">
      <w:pPr>
        <w:ind w:right="-2"/>
        <w:jc w:val="both"/>
      </w:pPr>
    </w:p>
    <w:p w:rsidR="00AD49B2" w:rsidRPr="001A34EC" w:rsidRDefault="00AD49B2" w:rsidP="00AD49B2">
      <w:pPr>
        <w:ind w:right="-2"/>
        <w:jc w:val="both"/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1A34EC">
        <w:rPr>
          <w:rFonts w:ascii="Times New Roman" w:eastAsia="Calibri" w:hAnsi="Times New Roman"/>
          <w:sz w:val="24"/>
        </w:rPr>
        <w:t xml:space="preserve">                   </w:t>
      </w:r>
      <w:r w:rsidRPr="001A34EC">
        <w:rPr>
          <w:rFonts w:ascii="Times New Roman" w:hAnsi="Times New Roman"/>
          <w:sz w:val="24"/>
        </w:rPr>
        <w:t xml:space="preserve">                  </w:t>
      </w:r>
      <w:r w:rsidRPr="001A34EC">
        <w:rPr>
          <w:rFonts w:ascii="Times New Roman" w:hAnsi="Times New Roman"/>
          <w:sz w:val="24"/>
        </w:rPr>
        <w:tab/>
      </w: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-46"/>
        <w:tblW w:w="9991" w:type="dxa"/>
        <w:tblLook w:val="04A0"/>
      </w:tblPr>
      <w:tblGrid>
        <w:gridCol w:w="4995"/>
        <w:gridCol w:w="4996"/>
      </w:tblGrid>
      <w:tr w:rsidR="00AD49B2" w:rsidRPr="001A34EC" w:rsidTr="00AB7D7B">
        <w:trPr>
          <w:trHeight w:val="1126"/>
        </w:trPr>
        <w:tc>
          <w:tcPr>
            <w:tcW w:w="4995" w:type="dxa"/>
          </w:tcPr>
          <w:p w:rsidR="00AD49B2" w:rsidRDefault="00AD49B2" w:rsidP="00AB7D7B">
            <w:pPr>
              <w:ind w:right="-2"/>
              <w:jc w:val="both"/>
            </w:pPr>
            <w:r>
              <w:t xml:space="preserve"> </w:t>
            </w:r>
            <w:proofErr w:type="gramStart"/>
            <w:r w:rsidR="00E33FC2">
              <w:t>Принят</w:t>
            </w:r>
            <w:proofErr w:type="gramEnd"/>
            <w:r w:rsidR="00E33FC2">
              <w:t xml:space="preserve"> на общем собрании коллектива.</w:t>
            </w:r>
          </w:p>
          <w:p w:rsidR="00E33FC2" w:rsidRPr="001A34EC" w:rsidRDefault="00E33FC2" w:rsidP="00AB6044">
            <w:pPr>
              <w:ind w:right="-2"/>
              <w:jc w:val="both"/>
            </w:pPr>
            <w:r>
              <w:t>Протокол  от</w:t>
            </w:r>
            <w:r w:rsidR="00AB6044">
              <w:t xml:space="preserve"> 30.</w:t>
            </w:r>
            <w:r>
              <w:t>09.2019 г.</w:t>
            </w:r>
          </w:p>
        </w:tc>
        <w:tc>
          <w:tcPr>
            <w:tcW w:w="4996" w:type="dxa"/>
          </w:tcPr>
          <w:p w:rsidR="00AD49B2" w:rsidRPr="001A34EC" w:rsidRDefault="00E33FC2" w:rsidP="00AB7D7B">
            <w:pPr>
              <w:ind w:right="-2"/>
              <w:jc w:val="right"/>
            </w:pPr>
            <w:proofErr w:type="gramStart"/>
            <w:r>
              <w:t>Введён</w:t>
            </w:r>
            <w:proofErr w:type="gramEnd"/>
            <w:r>
              <w:t xml:space="preserve"> в действие</w:t>
            </w:r>
          </w:p>
          <w:p w:rsidR="00AD49B2" w:rsidRPr="001A34EC" w:rsidRDefault="00AD49B2" w:rsidP="00AB7D7B">
            <w:pPr>
              <w:ind w:right="-2"/>
              <w:jc w:val="right"/>
            </w:pPr>
            <w:r w:rsidRPr="001A34EC">
              <w:t xml:space="preserve">приказом   № </w:t>
            </w:r>
            <w:r w:rsidR="00AB6044">
              <w:t xml:space="preserve">19-од </w:t>
            </w:r>
            <w:r w:rsidRPr="001A34EC">
              <w:t xml:space="preserve"> от </w:t>
            </w:r>
            <w:r w:rsidR="00AB6044">
              <w:t>30</w:t>
            </w:r>
            <w:r w:rsidRPr="001A34EC">
              <w:t xml:space="preserve"> </w:t>
            </w:r>
            <w:r>
              <w:t>сентября</w:t>
            </w:r>
            <w:r w:rsidRPr="001A34EC">
              <w:t xml:space="preserve"> 201</w:t>
            </w:r>
            <w:r w:rsidR="00C00604">
              <w:t>9</w:t>
            </w:r>
            <w:r w:rsidRPr="001A34EC">
              <w:t xml:space="preserve"> г.                                                                                                </w:t>
            </w:r>
          </w:p>
          <w:p w:rsidR="00AD49B2" w:rsidRPr="001A34EC" w:rsidRDefault="00AD49B2" w:rsidP="00AB7D7B">
            <w:pPr>
              <w:ind w:right="-2"/>
              <w:jc w:val="both"/>
            </w:pPr>
          </w:p>
        </w:tc>
      </w:tr>
    </w:tbl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sz w:val="24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spacing w:line="276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Default="001D4C03" w:rsidP="00AD49B2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1D4C03" w:rsidRPr="001D4C03" w:rsidRDefault="001D4C03" w:rsidP="001D4C03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eastAsia="Arial Unicode MS"/>
          <w:b/>
          <w:bCs/>
        </w:rPr>
      </w:pPr>
      <w:r w:rsidRPr="001D4C03">
        <w:rPr>
          <w:rFonts w:eastAsia="Arial Unicode MS"/>
          <w:b/>
        </w:rPr>
        <w:t>КОДЕКС ПРОФЕССИОНАЛЬНОЙ ЭТИКИ</w:t>
      </w:r>
    </w:p>
    <w:p w:rsidR="00AD49B2" w:rsidRPr="007329A3" w:rsidRDefault="001D4C03" w:rsidP="00AD49B2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AD49B2" w:rsidRPr="007329A3" w:rsidRDefault="00AD49B2" w:rsidP="00AD49B2">
      <w:pPr>
        <w:keepNext/>
        <w:widowControl w:val="0"/>
        <w:spacing w:before="80" w:line="280" w:lineRule="exact"/>
        <w:ind w:left="142" w:right="79"/>
        <w:contextualSpacing/>
        <w:jc w:val="center"/>
        <w:outlineLvl w:val="0"/>
        <w:rPr>
          <w:rFonts w:eastAsia="Arial Unicode MS"/>
          <w:b/>
          <w:bCs/>
        </w:rPr>
      </w:pPr>
      <w:r w:rsidRPr="007329A3">
        <w:rPr>
          <w:rFonts w:eastAsia="Arial Unicode MS"/>
          <w:b/>
          <w:bCs/>
        </w:rPr>
        <w:t>СОЦИАЛЬНОГО РАБОТНИКА</w:t>
      </w: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Pr="001A34EC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AD49B2" w:rsidRDefault="00AD49B2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B9034B" w:rsidRDefault="00B9034B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B9034B" w:rsidRPr="001A34EC" w:rsidRDefault="00B9034B" w:rsidP="00AD49B2">
      <w:pPr>
        <w:pStyle w:val="a9"/>
        <w:jc w:val="both"/>
        <w:rPr>
          <w:rFonts w:ascii="Times New Roman" w:hAnsi="Times New Roman"/>
          <w:color w:val="7030A0"/>
        </w:rPr>
      </w:pPr>
    </w:p>
    <w:p w:rsidR="00620970" w:rsidRDefault="00620970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D49B2" w:rsidRPr="00AD49B2" w:rsidRDefault="00AD49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D49B2">
        <w:rPr>
          <w:rFonts w:ascii="Times New Roman" w:hAnsi="Times New Roman"/>
          <w:sz w:val="24"/>
          <w:szCs w:val="24"/>
        </w:rPr>
        <w:t>Борзя</w:t>
      </w:r>
    </w:p>
    <w:p w:rsidR="00AD49B2" w:rsidRDefault="00AD49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A34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8451B2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51B2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51B2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51B2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51B2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51B2" w:rsidRPr="001A34EC" w:rsidRDefault="008451B2" w:rsidP="00AD49B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D4C03" w:rsidRPr="001D4C03" w:rsidRDefault="001D4C03" w:rsidP="001D4C0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r w:rsidRPr="001D4C03">
        <w:rPr>
          <w:rStyle w:val="a5"/>
          <w:iCs/>
          <w:bdr w:val="none" w:sz="0" w:space="0" w:color="auto" w:frame="1"/>
        </w:rPr>
        <w:lastRenderedPageBreak/>
        <w:t>I. Общие положения </w:t>
      </w:r>
      <w:r w:rsidRPr="001D4C03">
        <w:rPr>
          <w:iCs/>
        </w:rPr>
        <w:t xml:space="preserve"> 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Профессиональная этика – это одна из отраслей этической науки, </w:t>
      </w:r>
      <w:r w:rsidRPr="001D4C03">
        <w:rPr>
          <w:b/>
          <w:iCs/>
        </w:rPr>
        <w:t>набор правил, которые способствуют успешной профессиональной деятельности.</w:t>
      </w:r>
      <w:r w:rsidRPr="001D4C03">
        <w:rPr>
          <w:iCs/>
        </w:rPr>
        <w:t xml:space="preserve"> Часто это понятие употребляется в значении некоего «кодекса морали» – свода правил, которыми руководствуются представители определенных профессий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Кодекс </w:t>
      </w:r>
      <w:proofErr w:type="spellStart"/>
      <w:r w:rsidRPr="001D4C03">
        <w:rPr>
          <w:iCs/>
        </w:rPr>
        <w:t>пофессиональной</w:t>
      </w:r>
      <w:proofErr w:type="spellEnd"/>
      <w:r w:rsidRPr="001D4C03">
        <w:rPr>
          <w:iCs/>
        </w:rPr>
        <w:t xml:space="preserve"> этики и служебного поведения Соцработников Автономной некоммерческой организации социального обслуживания населения «</w:t>
      </w:r>
      <w:proofErr w:type="spellStart"/>
      <w:r w:rsidRPr="001D4C03">
        <w:rPr>
          <w:iCs/>
        </w:rPr>
        <w:t>Саранка</w:t>
      </w:r>
      <w:proofErr w:type="spellEnd"/>
      <w:r w:rsidRPr="001D4C03">
        <w:rPr>
          <w:iCs/>
        </w:rPr>
        <w:t xml:space="preserve">» </w:t>
      </w:r>
      <w:proofErr w:type="gramStart"/>
      <w:r w:rsidRPr="001D4C03">
        <w:rPr>
          <w:iCs/>
        </w:rPr>
        <w:t xml:space="preserve">( </w:t>
      </w:r>
      <w:proofErr w:type="gramEnd"/>
      <w:r w:rsidRPr="001D4C03">
        <w:rPr>
          <w:iCs/>
        </w:rPr>
        <w:t xml:space="preserve">далее Кодекс) разработан в соответствии с положениями Межпарламентской Ассамблеи государств - участников СНГ (постановление № 19-10 от 26 марта 2002г), Международной декларации этических принципов социальной работы (принята Международной федерацией социальных Соцработников 8 июля 1994г.), Международными этическими стандартами социальной работы  (приняты Международной федерацией социальных Соцработников 8 июля 1994г), Конституцией </w:t>
      </w:r>
      <w:proofErr w:type="gramStart"/>
      <w:r w:rsidRPr="001D4C03">
        <w:rPr>
          <w:iCs/>
        </w:rPr>
        <w:t xml:space="preserve">Российской Федерации,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1D4C03">
          <w:rPr>
            <w:iCs/>
          </w:rPr>
          <w:t>1995 г</w:t>
        </w:r>
      </w:smartTag>
      <w:r w:rsidRPr="001D4C03">
        <w:rPr>
          <w:iCs/>
        </w:rPr>
        <w:t xml:space="preserve">. № 195-ФЗ «Об основах социального обслуживания населения в Российской Федерации», Федеральным законом от 2 августа </w:t>
      </w:r>
      <w:smartTag w:uri="urn:schemas-microsoft-com:office:smarttags" w:element="metricconverter">
        <w:smartTagPr>
          <w:attr w:name="ProductID" w:val="1995 г"/>
        </w:smartTagPr>
        <w:r w:rsidRPr="001D4C03">
          <w:rPr>
            <w:iCs/>
          </w:rPr>
          <w:t>1995 г</w:t>
        </w:r>
      </w:smartTag>
      <w:r w:rsidRPr="001D4C03">
        <w:rPr>
          <w:iCs/>
        </w:rPr>
        <w:t xml:space="preserve">. № 122-ФЗ «О социальном обслуживании граждан пожилого возраста и инвалидов», Федеральным законном от 25 декабря </w:t>
      </w:r>
      <w:smartTag w:uri="urn:schemas-microsoft-com:office:smarttags" w:element="metricconverter">
        <w:smartTagPr>
          <w:attr w:name="ProductID" w:val="2008 г"/>
        </w:smartTagPr>
        <w:r w:rsidRPr="001D4C03">
          <w:rPr>
            <w:iCs/>
          </w:rPr>
          <w:t>2008 г</w:t>
        </w:r>
      </w:smartTag>
      <w:r w:rsidRPr="001D4C03">
        <w:rPr>
          <w:iCs/>
        </w:rPr>
        <w:t>. N 273-ФЗ «О противодействии коррупции», Приказом Министерства труда и социальной защиты РФ от 31.12.2013г. № 792 «Об утверждении Кодекса</w:t>
      </w:r>
      <w:proofErr w:type="gramEnd"/>
      <w:r w:rsidRPr="001D4C03">
        <w:rPr>
          <w:iCs/>
        </w:rPr>
        <w:t xml:space="preserve"> этики и служебного поведения </w:t>
      </w:r>
      <w:proofErr w:type="gramStart"/>
      <w:r w:rsidRPr="001D4C03">
        <w:rPr>
          <w:iCs/>
        </w:rPr>
        <w:t>Соцработников органов управления социальной защиты населения</w:t>
      </w:r>
      <w:proofErr w:type="gramEnd"/>
      <w:r w:rsidRPr="001D4C03">
        <w:rPr>
          <w:iCs/>
        </w:rPr>
        <w:t xml:space="preserve"> и учреждений социального обслуживания»,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Соцработников. А также </w:t>
      </w:r>
      <w:proofErr w:type="gramStart"/>
      <w:r w:rsidRPr="001D4C03">
        <w:rPr>
          <w:iCs/>
        </w:rPr>
        <w:t>основан</w:t>
      </w:r>
      <w:proofErr w:type="gramEnd"/>
      <w:r w:rsidRPr="001D4C03">
        <w:rPr>
          <w:iCs/>
        </w:rPr>
        <w:t xml:space="preserve"> на общепринятых нравственных принципах и нормах российского общества и государства.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b/>
          <w:iCs/>
        </w:rPr>
      </w:pPr>
      <w:r w:rsidRPr="001D4C03">
        <w:rPr>
          <w:b/>
          <w:iCs/>
        </w:rPr>
        <w:t xml:space="preserve">Профессиональный этикет является важнейшей составной частью служебной деятельности Соцработника. Знание и соблюдение его является необходимым профессиональным качеством Соцработника. 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Кодекс представляет собой свод общих принципов профессиональной этики и основных правил поведения, которыми надлежит руководствоваться Соцработникам организации.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Гражданин Российской Федерации, поступающий на работу в Автономную некоммерческую организацию социального обслуживания населения «</w:t>
      </w:r>
      <w:proofErr w:type="spellStart"/>
      <w:r w:rsidRPr="001D4C03">
        <w:rPr>
          <w:iCs/>
        </w:rPr>
        <w:t>Саранка</w:t>
      </w:r>
      <w:proofErr w:type="spellEnd"/>
      <w:r w:rsidRPr="001D4C03">
        <w:rPr>
          <w:iCs/>
        </w:rPr>
        <w:t>», обязан ознакомиться с положениями Кодекса и соблюдать его в процессе своей трудовой деятельности.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Каждый Соцработник  должен следовать положениям Кодекса, а каждый гражданин Российской Федерации вправе ожидать от Соцработника  организации  поведения в отношениях с ним в соответствии с положением Кодекса.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Целью Кодекса является установление этических норм и правил служебного поведения Соцработников организации  для повышения эффективности выполнения ими своей профессиональной деятельности, обеспечение единых норм поведения Соцработников организации, а также содействие укреплению авторитета Соцработников организации,  доверия граждан к  дому-интернату.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Кодекс служит основой для формирования должной морали в сфере социального обслуживания населения, уважительного отношения к организации социального обслуживания  в общественном сознании, а также выступает как институт общественного сознания и нравственности Соцработников организации, их </w:t>
      </w:r>
      <w:proofErr w:type="spellStart"/>
      <w:proofErr w:type="gramStart"/>
      <w:r w:rsidRPr="001D4C03">
        <w:rPr>
          <w:iCs/>
        </w:rPr>
        <w:t>ca</w:t>
      </w:r>
      <w:proofErr w:type="gramEnd"/>
      <w:r w:rsidRPr="001D4C03">
        <w:rPr>
          <w:iCs/>
        </w:rPr>
        <w:t>мoкoнтpoля</w:t>
      </w:r>
      <w:proofErr w:type="spellEnd"/>
      <w:r w:rsidRPr="001D4C03">
        <w:rPr>
          <w:iCs/>
        </w:rPr>
        <w:t>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Знание и соблюдение Соцработником организации  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приложить все усилия к тому, чтобы стать специалистом в своей профессиональной практике и в выполнении своих профессиональных обязанностей. Он имеет право вести работу только в рамках своей компетентности. Сотрудник должен нести персональную ответственность за качество работы, которую он индивидуально ведет, назначает или исполняет. Соцработник должен признавать рамки своей компетентности и не выходить за их пределы в ситуациях, где требуется более высокий уровень решения проблемы.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lastRenderedPageBreak/>
        <w:t>Соцработник должен поддерживать высокие нравственные стандарты своего поведения, исключая какие-либо уловки, нечестные действия, четко различая заявления и действия, сделанные им как частным лицом и как представителем профессии. 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постоянно повышать уровень своего профессионализма, поддерживать и расширять свою компетентность в целях повышения качества услуг, осуществлять при этом поиск и новых подходов и практических методов в своей деятельности.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Соцработник должен действовать так, чтобы предупредить возможности негуманного или дискриминационного поведения по отношению к личности или группе людей.                      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b/>
          <w:iCs/>
        </w:rPr>
      </w:pPr>
      <w:r w:rsidRPr="001D4C03">
        <w:rPr>
          <w:b/>
          <w:iCs/>
        </w:rPr>
        <w:t>II. Основные принципы и правила служебного поведения, которыми надлежит руководствоваться Соцработникам организации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Основные принципы служебного поведения Соцработников организации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 организации, сознавая ответственность перед государством, обществом и гражданами, призваны: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Соцработника организации;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осуществлять свою деятельность в пределах полномочий организации;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г) не оказывать предпочтения каким-либо профессиональным или социальным группам и организаци</w:t>
      </w:r>
      <w:r w:rsidR="008451B2">
        <w:rPr>
          <w:iCs/>
        </w:rPr>
        <w:t>я</w:t>
      </w:r>
      <w:r w:rsidRPr="001D4C03">
        <w:rPr>
          <w:iCs/>
        </w:rPr>
        <w:t>м, быть независимыми от влияния отдельных граждан,  не подчиняться не отвечающим интересам клиентов влиянию отдельных должностных лиц и административному давлению;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д</w:t>
      </w:r>
      <w:proofErr w:type="spellEnd"/>
      <w:r w:rsidRPr="001D4C03">
        <w:rPr>
          <w:iCs/>
        </w:rP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  оказавшимся в трудной жизненной ситуации;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е) обеспечивать безопасность оказываемых социальных услуг для жизни и здоровья клиентов;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ж) исключить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з</w:t>
      </w:r>
      <w:proofErr w:type="spellEnd"/>
      <w:r w:rsidRPr="001D4C03">
        <w:rPr>
          <w:iCs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и) соблюдать нормы служебной и профессиональной этики, правила делового поведения и общения;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к) проявлять корректность и внимательность в обращении с гражданами и должностными лицами;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способность сохранению самобытности;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м) защищать и поддерживать человеческое достоинство клиентов организации, учитывать их индивидуальность, интересы и социальные потребности на основе построения толерантных отношений с ними;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н</w:t>
      </w:r>
      <w:proofErr w:type="spellEnd"/>
      <w:r w:rsidRPr="001D4C03">
        <w:rPr>
          <w:iCs/>
        </w:rPr>
        <w:t>) уважать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о) соблюдать конфиденциальность информации о клиенте организации, касающейся условий его жизнедеятельности, личных качеств и проблем, принимать меры для обеспечения нераспространения полученных  сведений доверительного характера;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п</w:t>
      </w:r>
      <w:proofErr w:type="spellEnd"/>
      <w:r w:rsidRPr="001D4C03">
        <w:rPr>
          <w:iCs/>
        </w:rPr>
        <w:t>) воздерживаться от поведения, которое могло бы вызвать сомнение в объективном исполнении должностных обязанностей Соцработника организации, а также не допускать конфликтных ситуаций, способных дискредитировать их деятельность;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р</w:t>
      </w:r>
      <w:proofErr w:type="spellEnd"/>
      <w:r w:rsidRPr="001D4C03">
        <w:rPr>
          <w:iCs/>
        </w:rPr>
        <w:t>) не использовать служебное положение для оказания влияния на должностных лиц при решении вопросов личного характера;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lastRenderedPageBreak/>
        <w:t>с) соблюдать установленные в учреждении правила публичных выступлений и предоставления служебной информации;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т)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у) нести личную ответственность за результаты своей деятельности;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ф</w:t>
      </w:r>
      <w:proofErr w:type="spellEnd"/>
      <w:r w:rsidRPr="001D4C03">
        <w:rPr>
          <w:iCs/>
        </w:rPr>
        <w:t>) стимулировать участие волонтёров, прежде всего из числа молодежи, в деятельности организации  по предоставлению клиентам организации  необходимых социальных услуг.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х</w:t>
      </w:r>
      <w:proofErr w:type="spellEnd"/>
      <w:r w:rsidRPr="001D4C03">
        <w:rPr>
          <w:iCs/>
        </w:rPr>
        <w:t>) 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Соцработника организации;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proofErr w:type="gramStart"/>
      <w:r w:rsidRPr="001D4C03">
        <w:rPr>
          <w:iCs/>
        </w:rPr>
        <w:t>Соцработники организации обязаны соблюдать Конституцию Российской Федерации, федеральные законы, иные нормативные правовые акты Российской Федерации, нормативные правовые акты субъектов Российской Федерации, должностные инструкции, правила внутреннего трудового распорядка.</w:t>
      </w:r>
      <w:proofErr w:type="gramEnd"/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 организации несут ответственность перед клиентами организации и перед обществом за результаты своей деятельности, за знание и исполнение нормативных правовых актов Забайкальского края, должностной инструкции, правил внутреннего трудового распорядка, а также нормативно-правовых актов организации,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 организации 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 организации, осуществляющие взаимодействие с Соцработниками других учреждений, должны быть для них образцом профессионализма, 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организации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Соцработники, наделенные организационно-распорядительными полномочиями по отношению к Соцработникам структурных подразделений, призваны: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принимать меры по предотвращению и урегулированию межведомственных конфликтов интересов;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принимать меры по предупреждению коррупции;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не допускать случаев принуждения подчиненных Соцработников к участию в деятельности политических партий, иных общественных объединений.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Соцработники, наделенные организационно-распорядительными полномочиями по отношению к Соцработникам структурных подразделений дома-интерната,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Соцработники, наделенные организационно-распорядительными полномочиями по отношению к Соцработникам структурных подразделений, несут ответственность в соответствии с законодательством Российской Федерации за действия или бездействие подчиненных Соцработников,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не должен использовать отношения с руководителем, другими Соцработниками, получателем социальных услуг в собственных интересах;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Соцработник не должен практиковать, способствовать или принимать участие в любых формах дискриминации, основанной на национальности, сексуальных отношениях, возрасте, вероисповедании, семейном статусе, политической ориентации, умственных или физических </w:t>
      </w:r>
      <w:r w:rsidRPr="001D4C03">
        <w:rPr>
          <w:iCs/>
        </w:rPr>
        <w:lastRenderedPageBreak/>
        <w:t>недостатках, привилегиях, персональных характеристиках; напротив, его цель — всеми доступными ему средствами бороться с такой дискриминацией;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не должен позволять вовлекать себя в любые действия, которые оскверняют или уменьшают конституционные, гражданские или юридические права руководства, других Соцработников, клиентов организации, даже если это делается по их просьбе.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обеспечить конфиденциальность и сохранение тайны, полученной в ходе выполнения им должностных обязанностей. Конфиденциальной (доверительной, не подлежащей разглашению) информацией является все, что касается жизни получателя социальных услуг, его личных качеств, проблем со здоровьем.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обязан уважать тайны клиентов организации и не распространять информацию, прошедшую в ходе профессиональной социальной помощи: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gramStart"/>
      <w:r w:rsidRPr="001D4C03">
        <w:rPr>
          <w:iCs/>
        </w:rPr>
        <w:t>а) Соцработник может поделиться конфиденциальной информацией, узнанной им от клиента без их на то согласия, только в условиях непосредственной опасности для клиента: для его жизни, здоровья, материального благополучия, психического состояния;</w:t>
      </w:r>
      <w:proofErr w:type="gramEnd"/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 xml:space="preserve">б) Соцработник должен получить согласие руководства, другого Соцработника и (или) получателя социальных услуг, прежде чем делать аудио или </w:t>
      </w:r>
      <w:proofErr w:type="gramStart"/>
      <w:r w:rsidRPr="001D4C03">
        <w:rPr>
          <w:iCs/>
        </w:rPr>
        <w:t>видео записи</w:t>
      </w:r>
      <w:proofErr w:type="gramEnd"/>
      <w:r w:rsidRPr="001D4C03">
        <w:rPr>
          <w:iCs/>
        </w:rPr>
        <w:t xml:space="preserve"> или разрешить какой-либо третьей инстанции наблюдать за его работой и действиями.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обращаться с коллегами с уважением, вежливостью, справедливо, с доверием, соблюдая деликатность и справедливость: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Соцработнику следует обращаться с коллегами на основе профессиональных интересов и убеждений;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Соцработник должен уважать доверие коллег в ходе профессиональных взаимоотношений;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Соцработник должен создавать и поддерживать ситуации, облегчающие коллегам этические, профессионально компетентные действия;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г) Соцработник, замещающий коллегу, должен действовать в интересах репутации того, кого замещает;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д</w:t>
      </w:r>
      <w:proofErr w:type="spellEnd"/>
      <w:r w:rsidRPr="001D4C03">
        <w:rPr>
          <w:iCs/>
        </w:rPr>
        <w:t>) Соцработник не должен использовать конфликт между коллегой и руководителем в своих интересах и для укрепления своей позиции;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е) Соцработнику необходимо распространять свое уважение и к коллегам, не связанным непосредственно со сферой его работы;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ж) Соцработник, выполняющий функции руководителя, по отношению к коллегам, должен доброжелательно, спокойно и подробно доводить до их сведения условия совместной работы и взаимоотношений.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поддерживать и повышать значимость, этику, знания и цели своей профессии: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Соцработник должен защищать достоинство и чистоту профессии, должен быть ответственным и активным в дискуссиях по совершенствованию профессии;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Соцработник должен предпринимать действия против неэтического поведения своих коллег;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Соцработники, сознавая ответственность перед государством, обществом и гражданами, призваны: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исполнять должностные обязанности добросовестно, на высоком профессиональном уровне, необходимом для обеспечения эффективной работы организации;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исходить из того, что признание, соблюдение и защита прав и свобод человека и гражданина определяют смысл и содержание профессиональной служебной деятельности Соцработников;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г) соблюдать нейтральность, исключающую возможность влияния на их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д</w:t>
      </w:r>
      <w:proofErr w:type="spellEnd"/>
      <w:r w:rsidRPr="001D4C03">
        <w:rPr>
          <w:iCs/>
        </w:rPr>
        <w:t>) соблюдать нормы служебной, профессиональной этики и правила делового поведения;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lastRenderedPageBreak/>
        <w:t>е) проявлять корректность и внимательность в общении с работодателем, Соцработниками и получателями социальных услуг;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 xml:space="preserve">ж) проявлять терпимость и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 w:rsidRPr="001D4C03">
        <w:rPr>
          <w:iCs/>
        </w:rPr>
        <w:t>конфессий</w:t>
      </w:r>
      <w:proofErr w:type="spellEnd"/>
      <w:r w:rsidRPr="001D4C03">
        <w:rPr>
          <w:iCs/>
        </w:rPr>
        <w:t>, способствовать межнациональному и межконфессиональному согласию;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з</w:t>
      </w:r>
      <w:proofErr w:type="spellEnd"/>
      <w:r w:rsidRPr="001D4C03">
        <w:rPr>
          <w:iCs/>
        </w:rPr>
        <w:t>) воздерживаться от поведения, которое могло бы вызвать сомнение в объективном исполнении Соцработником должностных обязанностей, а также не допускать конфликтных ситуаций, способных нанести ущерб репутации или авторитету организации, не совершать поступки, порочащие его честь и достоинство;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и)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к) не использовать служебное положение для оказания влияния на деятельность организации, работодателя и Соцработников, а так же любых граждан при решении вопросов личного характера;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л) воздерживаться от публичных высказываний, суждений и оценок в отношении деятельности организации, их руководителей, Соцработников, получателей социальных услуг, если это не входит в должностные обязанности Соцработника;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м) соблюдать установленные в учреждении правила публичных выступлений и предоставления служебной информации;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spellStart"/>
      <w:r w:rsidRPr="001D4C03">
        <w:rPr>
          <w:iCs/>
        </w:rPr>
        <w:t>н</w:t>
      </w:r>
      <w:proofErr w:type="spellEnd"/>
      <w:r w:rsidRPr="001D4C03">
        <w:rPr>
          <w:iCs/>
        </w:rPr>
        <w:t>) уважительно относиться к деятельности организации, работодателя и других Соцработников, а также оказывать им содействие в получении достоверной информации;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о) постоянно стремиться к обеспечению как можно более эффективного распоряжения ресурсами организации, находящимися в сфере его ответственности.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уважать честь и достоинство клиента, относиться к нему доброжелательно, уважать его права на личную тайну, с пониманием воспринимать озабоченность родных и близких состоянием больного, но в то же время он не должен без достаточных на то профессиональных причин вмешиваться в частные дела пациента и членов его семьи.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должен оказывать 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Самореклама при общении Соцработника с клиентом недопустима.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b/>
          <w:iCs/>
        </w:rPr>
      </w:pPr>
      <w:r w:rsidRPr="001D4C03">
        <w:rPr>
          <w:b/>
          <w:iCs/>
        </w:rPr>
        <w:t>III. Этические правила служебного поведения Соцработников организации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В служебном поведении Соцработнику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  и семейную тайну, защиту чести, достоинства, своего доброго имени.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В служебном поведении Соцработника организации недопустимы: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г) курение в служебных помещениях, при посещении клиентов в комнатах, во время служебных совещаний, бесед, иного служебного общения с гражданами;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Соцработники организации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Соцработникам организации рекомендуется быть вежливыми, доброжелательными, корректными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Внешний вид Соцработника организации при исполнении должностных обязанностей в зависимости от условий работы и формата служебного мероприятия должен соответствовать </w:t>
      </w:r>
      <w:r w:rsidRPr="001D4C03">
        <w:rPr>
          <w:iCs/>
        </w:rPr>
        <w:lastRenderedPageBreak/>
        <w:t>общепринятому деловому стилю, который отличают официальность, сдержанность, традиционность, аккуратность. Одежда сотрудников, как мужчин, так и женщин, должна быть выдержана в строгом, деловом стиле, неприемлема одежда и обувь спортивного и пляжного стиля (джинсовая одежда, шорты, открытые сарафаны, футболки, тенниски).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Цветовые решения в одежде должны соответствовать классическому деловому стилю, исключаются излишне яркие цвета, чрезмерная пестрота.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Всем сотрудникам необходимо пользоваться сменной обувью на все сезоны, кроме лета.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 xml:space="preserve"> Прическа сотрудника должна быть аккуратной и ухоженной, волосы должны быть чистыми и уложенными.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  Мужчинам рекомендуется быть чисто выбритыми либо иметь аккуратно подстриженные бороду и усы.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 Для женщин рекомендуется использовать: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proofErr w:type="gramStart"/>
      <w:r w:rsidRPr="001D4C03">
        <w:rPr>
          <w:iCs/>
        </w:rPr>
        <w:t>а)  классического стиля платья, костюмы с юбками, брюками, блузы, предпочтительно неярких расцветок, длина платья, юбки (разреза) должна прикрывать колени;</w:t>
      </w:r>
      <w:proofErr w:type="gramEnd"/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 классическая обувь (не допускается ношение обуви с завязками на щиколотках, с незафиксированной пяткой, на слишком высоких каблуках).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proofErr w:type="gramStart"/>
      <w:r w:rsidRPr="001D4C03">
        <w:rPr>
          <w:iCs/>
        </w:rPr>
        <w:t>Настоятельно исключить: </w:t>
      </w:r>
      <w:hyperlink r:id="rId8" w:history="1">
        <w:r w:rsidRPr="00C166AE">
          <w:rPr>
            <w:rStyle w:val="a7"/>
            <w:iCs/>
            <w:color w:val="auto"/>
          </w:rPr>
          <w:t>бриджи</w:t>
        </w:r>
      </w:hyperlink>
      <w:r w:rsidRPr="001D4C03">
        <w:rPr>
          <w:iCs/>
        </w:rPr>
        <w:t>, откровенного глубокого декольте, высокие разрезы, открытые плечи, спины, топов в обтяжку (без костюма), прозрачные ткани, большое (чрезмерное) количество украшений, использование ярких макияжа и маникюра.</w:t>
      </w:r>
      <w:proofErr w:type="gramEnd"/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 Для мужчин рекомендуется использовать: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а) костюмы (базовые цвета: серый, синий, песочный, коричневый, черный);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б)  рубашки преимущественно светлые и однотонные, допускается в полоску и чуть заметную клетку (не пестрые);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в) галстук не слишком яркий, без броских узоров;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  <w:r w:rsidRPr="001D4C03">
        <w:rPr>
          <w:iCs/>
        </w:rPr>
        <w:t>г)  носки должны быть в цвет обуви, брюк или в одной цветовой гамме с костюмом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Спецодежда должна быть в соответствии с размерами сотрудника, а также чистой и аккуратной.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b/>
          <w:iCs/>
        </w:rPr>
      </w:pPr>
      <w:r w:rsidRPr="001D4C03">
        <w:rPr>
          <w:b/>
          <w:iCs/>
        </w:rPr>
        <w:t> </w:t>
      </w:r>
      <w:r w:rsidRPr="001D4C03">
        <w:rPr>
          <w:b/>
          <w:iCs/>
          <w:lang w:val="en-US"/>
        </w:rPr>
        <w:t>I</w:t>
      </w:r>
      <w:r w:rsidRPr="001D4C03">
        <w:rPr>
          <w:b/>
          <w:iCs/>
        </w:rPr>
        <w:t>V.</w:t>
      </w:r>
      <w:proofErr w:type="gramStart"/>
      <w:r w:rsidRPr="001D4C03">
        <w:rPr>
          <w:b/>
          <w:iCs/>
        </w:rPr>
        <w:t>  Ответственность</w:t>
      </w:r>
      <w:proofErr w:type="gramEnd"/>
      <w:r w:rsidRPr="001D4C03">
        <w:rPr>
          <w:b/>
          <w:iCs/>
        </w:rPr>
        <w:t xml:space="preserve"> за нарушение Кодекса.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Нарушение Соцработником организации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Соцработнику организации мер юридической ответственности.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Соблюдение Соцработником организации положений Кодекса учитывается при проведении аттестаций, формировании кадрового резерва для выдвижения на вышестоящие должности, при поощрении или применении дисциплинарных взысканий.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Профсоюзный комитет при взаимодействии с администрацией организации обсуждает факты несоблюдения требований к служебному поведению Соцработника организации, вносит предложения по защите прав и интересов клиентов организации, а при необходимости о наложении на Соцработника дисциплинарного взыскания. Решение профкома учитываются при проведении аттестации, продвижения по службе и поощрения соответствующего Соцработника.      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b/>
          <w:iCs/>
        </w:rPr>
      </w:pPr>
      <w:r w:rsidRPr="001D4C03">
        <w:rPr>
          <w:b/>
          <w:iCs/>
        </w:rPr>
        <w:t xml:space="preserve">V. Требования к </w:t>
      </w:r>
      <w:proofErr w:type="spellStart"/>
      <w:r w:rsidRPr="001D4C03">
        <w:rPr>
          <w:b/>
          <w:iCs/>
        </w:rPr>
        <w:t>антикоррупционному</w:t>
      </w:r>
      <w:proofErr w:type="spellEnd"/>
      <w:r w:rsidRPr="001D4C03">
        <w:rPr>
          <w:b/>
          <w:iCs/>
        </w:rPr>
        <w:t xml:space="preserve"> поведению Соцработников организации.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 Организации 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D4C03" w:rsidRPr="001D4C03" w:rsidRDefault="001D4C03" w:rsidP="001D4C0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 w:firstLine="0"/>
        <w:jc w:val="both"/>
        <w:textAlignment w:val="baseline"/>
        <w:rPr>
          <w:iCs/>
        </w:rPr>
      </w:pPr>
      <w:r w:rsidRPr="001D4C03">
        <w:rPr>
          <w:iCs/>
        </w:rPr>
        <w:t>Соцработнику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1D4C03" w:rsidRPr="001D4C03" w:rsidRDefault="001D4C03" w:rsidP="001D4C03">
      <w:pPr>
        <w:shd w:val="clear" w:color="auto" w:fill="FFFFFF"/>
        <w:jc w:val="both"/>
        <w:textAlignment w:val="baseline"/>
        <w:rPr>
          <w:iCs/>
        </w:rPr>
      </w:pPr>
    </w:p>
    <w:p w:rsidR="002F0679" w:rsidRDefault="002F0679" w:rsidP="007F43C0">
      <w:pPr>
        <w:jc w:val="center"/>
        <w:rPr>
          <w:b/>
        </w:rPr>
      </w:pPr>
    </w:p>
    <w:p w:rsidR="006D6615" w:rsidRPr="00882B4E" w:rsidRDefault="006D6615" w:rsidP="007F43C0">
      <w:pPr>
        <w:jc w:val="center"/>
      </w:pPr>
    </w:p>
    <w:p w:rsidR="00E86E25" w:rsidRPr="006D6615" w:rsidRDefault="00E86E25" w:rsidP="006D6615">
      <w:pPr>
        <w:pStyle w:val="31"/>
        <w:ind w:left="1500"/>
        <w:rPr>
          <w:rFonts w:ascii="Times New Roman" w:hAnsi="Times New Roman"/>
          <w:sz w:val="28"/>
          <w:szCs w:val="28"/>
        </w:rPr>
      </w:pPr>
    </w:p>
    <w:p w:rsidR="007F43C0" w:rsidRPr="007F43C0" w:rsidRDefault="007F43C0" w:rsidP="007F43C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7F43C0" w:rsidRPr="007F43C0" w:rsidSect="002F0679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8C" w:rsidRDefault="00D84B8C" w:rsidP="00AD49B2">
      <w:r>
        <w:separator/>
      </w:r>
    </w:p>
  </w:endnote>
  <w:endnote w:type="continuationSeparator" w:id="0">
    <w:p w:rsidR="00D84B8C" w:rsidRDefault="00D84B8C" w:rsidP="00AD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4B" w:rsidRDefault="00565F28">
    <w:pPr>
      <w:pStyle w:val="ac"/>
      <w:jc w:val="center"/>
    </w:pPr>
    <w:fldSimple w:instr=" PAGE   \* MERGEFORMAT ">
      <w:r w:rsidR="00C33BFA">
        <w:rPr>
          <w:noProof/>
        </w:rPr>
        <w:t>7</w:t>
      </w:r>
    </w:fldSimple>
  </w:p>
  <w:p w:rsidR="00B9034B" w:rsidRDefault="00B903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8C" w:rsidRDefault="00D84B8C" w:rsidP="00AD49B2">
      <w:r>
        <w:separator/>
      </w:r>
    </w:p>
  </w:footnote>
  <w:footnote w:type="continuationSeparator" w:id="0">
    <w:p w:rsidR="00D84B8C" w:rsidRDefault="00D84B8C" w:rsidP="00AD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7" w:type="dxa"/>
      <w:tblLook w:val="04A0"/>
    </w:tblPr>
    <w:tblGrid>
      <w:gridCol w:w="1403"/>
      <w:gridCol w:w="6752"/>
      <w:gridCol w:w="2262"/>
    </w:tblGrid>
    <w:tr w:rsidR="00C00604" w:rsidTr="007B32D7">
      <w:trPr>
        <w:trHeight w:val="532"/>
      </w:trPr>
      <w:tc>
        <w:tcPr>
          <w:tcW w:w="1403" w:type="dxa"/>
        </w:tcPr>
        <w:p w:rsidR="00B9034B" w:rsidRDefault="0075762D">
          <w:pPr>
            <w:pStyle w:val="aa"/>
          </w:pPr>
          <w:r>
            <w:rPr>
              <w:b/>
              <w:noProof/>
              <w:sz w:val="26"/>
              <w:szCs w:val="26"/>
            </w:rPr>
            <w:drawing>
              <wp:inline distT="0" distB="0" distL="0" distR="0">
                <wp:extent cx="718185" cy="326390"/>
                <wp:effectExtent l="0" t="0" r="0" b="0"/>
                <wp:docPr id="2" name="Рисунок 2" descr="E:\Саранка\сайт\Саранка 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:\Саранка\сайт\Саранка 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1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</w:tcPr>
        <w:p w:rsidR="007B32D7" w:rsidRDefault="007B32D7" w:rsidP="007B32D7">
          <w:pPr>
            <w:pStyle w:val="aa"/>
            <w:jc w:val="center"/>
            <w:rPr>
              <w:sz w:val="16"/>
              <w:szCs w:val="16"/>
            </w:rPr>
          </w:pPr>
        </w:p>
        <w:p w:rsidR="00B9034B" w:rsidRPr="007B32D7" w:rsidRDefault="00B9034B" w:rsidP="007B32D7">
          <w:pPr>
            <w:pStyle w:val="aa"/>
            <w:jc w:val="center"/>
            <w:rPr>
              <w:sz w:val="16"/>
              <w:szCs w:val="16"/>
            </w:rPr>
          </w:pPr>
          <w:r w:rsidRPr="007B32D7">
            <w:rPr>
              <w:sz w:val="16"/>
              <w:szCs w:val="16"/>
            </w:rPr>
            <w:t>Автономная некоммерческая организация</w:t>
          </w:r>
          <w:r w:rsidR="007B32D7" w:rsidRPr="007B32D7">
            <w:rPr>
              <w:sz w:val="16"/>
              <w:szCs w:val="16"/>
            </w:rPr>
            <w:t xml:space="preserve"> </w:t>
          </w:r>
          <w:r w:rsidRPr="007B32D7">
            <w:rPr>
              <w:sz w:val="16"/>
              <w:szCs w:val="16"/>
            </w:rPr>
            <w:t>социального обслуживания населения «</w:t>
          </w:r>
          <w:proofErr w:type="spellStart"/>
          <w:r w:rsidRPr="007B32D7">
            <w:rPr>
              <w:sz w:val="16"/>
              <w:szCs w:val="16"/>
            </w:rPr>
            <w:t>Саранка</w:t>
          </w:r>
          <w:proofErr w:type="spellEnd"/>
          <w:r w:rsidRPr="007B32D7">
            <w:rPr>
              <w:sz w:val="16"/>
              <w:szCs w:val="16"/>
            </w:rPr>
            <w:t>»</w:t>
          </w:r>
        </w:p>
      </w:tc>
      <w:tc>
        <w:tcPr>
          <w:tcW w:w="2262" w:type="dxa"/>
          <w:vAlign w:val="center"/>
        </w:tcPr>
        <w:p w:rsidR="00B9034B" w:rsidRPr="00FB7958" w:rsidRDefault="008451B2" w:rsidP="00B9034B">
          <w:pPr>
            <w:pStyle w:val="a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Кодекс </w:t>
          </w:r>
          <w:proofErr w:type="spellStart"/>
          <w:r>
            <w:rPr>
              <w:i/>
              <w:sz w:val="16"/>
              <w:szCs w:val="16"/>
            </w:rPr>
            <w:t>профэтики</w:t>
          </w:r>
          <w:proofErr w:type="spellEnd"/>
          <w:r>
            <w:rPr>
              <w:i/>
              <w:sz w:val="16"/>
              <w:szCs w:val="16"/>
            </w:rPr>
            <w:t xml:space="preserve"> соцработника</w:t>
          </w:r>
        </w:p>
      </w:tc>
    </w:tr>
  </w:tbl>
  <w:p w:rsidR="00AD49B2" w:rsidRDefault="00AD49B2" w:rsidP="007B32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D69"/>
    <w:multiLevelType w:val="hybridMultilevel"/>
    <w:tmpl w:val="E2AA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7DB"/>
    <w:multiLevelType w:val="hybridMultilevel"/>
    <w:tmpl w:val="1F22E10C"/>
    <w:lvl w:ilvl="0" w:tplc="54A24E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24AB"/>
    <w:multiLevelType w:val="hybridMultilevel"/>
    <w:tmpl w:val="B748D5A4"/>
    <w:lvl w:ilvl="0" w:tplc="54A24EC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54A24EC2">
      <w:start w:val="1"/>
      <w:numFmt w:val="bullet"/>
      <w:lvlText w:val=""/>
      <w:lvlJc w:val="left"/>
      <w:pPr>
        <w:ind w:left="34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F1265C7"/>
    <w:multiLevelType w:val="hybridMultilevel"/>
    <w:tmpl w:val="49385996"/>
    <w:lvl w:ilvl="0" w:tplc="54A24EC2">
      <w:start w:val="1"/>
      <w:numFmt w:val="bullet"/>
      <w:lvlText w:val=""/>
      <w:lvlJc w:val="left"/>
      <w:pPr>
        <w:ind w:left="2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">
    <w:nsid w:val="13AA1037"/>
    <w:multiLevelType w:val="hybridMultilevel"/>
    <w:tmpl w:val="7758E800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4F39"/>
    <w:multiLevelType w:val="hybridMultilevel"/>
    <w:tmpl w:val="4A367A30"/>
    <w:lvl w:ilvl="0" w:tplc="54A24EC2">
      <w:start w:val="1"/>
      <w:numFmt w:val="bullet"/>
      <w:lvlText w:val="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3589"/>
    <w:multiLevelType w:val="multilevel"/>
    <w:tmpl w:val="D6B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51A75"/>
    <w:multiLevelType w:val="hybridMultilevel"/>
    <w:tmpl w:val="58FC159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52DE9"/>
    <w:multiLevelType w:val="hybridMultilevel"/>
    <w:tmpl w:val="F5624D2A"/>
    <w:lvl w:ilvl="0" w:tplc="54A24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D76"/>
    <w:multiLevelType w:val="multilevel"/>
    <w:tmpl w:val="B12A3D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5EC50A6"/>
    <w:multiLevelType w:val="hybridMultilevel"/>
    <w:tmpl w:val="8BE2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3A2951"/>
    <w:multiLevelType w:val="hybridMultilevel"/>
    <w:tmpl w:val="3892ADDA"/>
    <w:lvl w:ilvl="0" w:tplc="F65A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C99C4">
      <w:numFmt w:val="none"/>
      <w:lvlText w:val=""/>
      <w:lvlJc w:val="left"/>
      <w:pPr>
        <w:tabs>
          <w:tab w:val="num" w:pos="360"/>
        </w:tabs>
      </w:pPr>
    </w:lvl>
    <w:lvl w:ilvl="2" w:tplc="8356EED6">
      <w:numFmt w:val="none"/>
      <w:lvlText w:val=""/>
      <w:lvlJc w:val="left"/>
      <w:pPr>
        <w:tabs>
          <w:tab w:val="num" w:pos="360"/>
        </w:tabs>
      </w:pPr>
    </w:lvl>
    <w:lvl w:ilvl="3" w:tplc="0BAAD544">
      <w:numFmt w:val="none"/>
      <w:lvlText w:val=""/>
      <w:lvlJc w:val="left"/>
      <w:pPr>
        <w:tabs>
          <w:tab w:val="num" w:pos="360"/>
        </w:tabs>
      </w:pPr>
    </w:lvl>
    <w:lvl w:ilvl="4" w:tplc="1CF2B5B4">
      <w:numFmt w:val="none"/>
      <w:lvlText w:val=""/>
      <w:lvlJc w:val="left"/>
      <w:pPr>
        <w:tabs>
          <w:tab w:val="num" w:pos="360"/>
        </w:tabs>
      </w:pPr>
    </w:lvl>
    <w:lvl w:ilvl="5" w:tplc="62A489C2">
      <w:numFmt w:val="none"/>
      <w:lvlText w:val=""/>
      <w:lvlJc w:val="left"/>
      <w:pPr>
        <w:tabs>
          <w:tab w:val="num" w:pos="360"/>
        </w:tabs>
      </w:pPr>
    </w:lvl>
    <w:lvl w:ilvl="6" w:tplc="6302D51A">
      <w:numFmt w:val="none"/>
      <w:lvlText w:val=""/>
      <w:lvlJc w:val="left"/>
      <w:pPr>
        <w:tabs>
          <w:tab w:val="num" w:pos="360"/>
        </w:tabs>
      </w:pPr>
    </w:lvl>
    <w:lvl w:ilvl="7" w:tplc="E9EC8D26">
      <w:numFmt w:val="none"/>
      <w:lvlText w:val=""/>
      <w:lvlJc w:val="left"/>
      <w:pPr>
        <w:tabs>
          <w:tab w:val="num" w:pos="360"/>
        </w:tabs>
      </w:pPr>
    </w:lvl>
    <w:lvl w:ilvl="8" w:tplc="79A418D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9EF2AEE"/>
    <w:multiLevelType w:val="hybridMultilevel"/>
    <w:tmpl w:val="C91CB226"/>
    <w:lvl w:ilvl="0" w:tplc="54A24EC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C36E0"/>
    <w:multiLevelType w:val="hybridMultilevel"/>
    <w:tmpl w:val="DB4A5A8C"/>
    <w:lvl w:ilvl="0" w:tplc="B038E45E">
      <w:start w:val="1"/>
      <w:numFmt w:val="decimal"/>
      <w:suff w:val="space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E06C4"/>
    <w:multiLevelType w:val="hybridMultilevel"/>
    <w:tmpl w:val="9CCA6AF0"/>
    <w:lvl w:ilvl="0" w:tplc="54A24E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C33209"/>
    <w:multiLevelType w:val="hybridMultilevel"/>
    <w:tmpl w:val="B30C865C"/>
    <w:lvl w:ilvl="0" w:tplc="0FB8824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EBD2053"/>
    <w:multiLevelType w:val="hybridMultilevel"/>
    <w:tmpl w:val="8A4C15F6"/>
    <w:lvl w:ilvl="0" w:tplc="54A24EC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9847EF"/>
    <w:multiLevelType w:val="multilevel"/>
    <w:tmpl w:val="B72ED8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F5A6C"/>
    <w:multiLevelType w:val="hybridMultilevel"/>
    <w:tmpl w:val="633082D0"/>
    <w:lvl w:ilvl="0" w:tplc="54A24E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B82D8D"/>
    <w:multiLevelType w:val="hybridMultilevel"/>
    <w:tmpl w:val="698EDA7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"/>
  </w:num>
  <w:num w:numId="5">
    <w:abstractNumId w:val="0"/>
  </w:num>
  <w:num w:numId="6">
    <w:abstractNumId w:val="16"/>
  </w:num>
  <w:num w:numId="7">
    <w:abstractNumId w:val="7"/>
  </w:num>
  <w:num w:numId="8">
    <w:abstractNumId w:val="11"/>
  </w:num>
  <w:num w:numId="9">
    <w:abstractNumId w:val="27"/>
  </w:num>
  <w:num w:numId="10">
    <w:abstractNumId w:val="32"/>
  </w:num>
  <w:num w:numId="11">
    <w:abstractNumId w:val="26"/>
  </w:num>
  <w:num w:numId="12">
    <w:abstractNumId w:val="20"/>
  </w:num>
  <w:num w:numId="13">
    <w:abstractNumId w:val="23"/>
  </w:num>
  <w:num w:numId="14">
    <w:abstractNumId w:val="31"/>
  </w:num>
  <w:num w:numId="15">
    <w:abstractNumId w:val="4"/>
  </w:num>
  <w:num w:numId="16">
    <w:abstractNumId w:val="2"/>
  </w:num>
  <w:num w:numId="17">
    <w:abstractNumId w:val="33"/>
  </w:num>
  <w:num w:numId="18">
    <w:abstractNumId w:val="12"/>
  </w:num>
  <w:num w:numId="19">
    <w:abstractNumId w:val="9"/>
  </w:num>
  <w:num w:numId="20">
    <w:abstractNumId w:val="17"/>
  </w:num>
  <w:num w:numId="21">
    <w:abstractNumId w:val="25"/>
  </w:num>
  <w:num w:numId="22">
    <w:abstractNumId w:val="15"/>
  </w:num>
  <w:num w:numId="23">
    <w:abstractNumId w:val="24"/>
  </w:num>
  <w:num w:numId="24">
    <w:abstractNumId w:val="28"/>
  </w:num>
  <w:num w:numId="25">
    <w:abstractNumId w:val="13"/>
  </w:num>
  <w:num w:numId="26">
    <w:abstractNumId w:val="10"/>
  </w:num>
  <w:num w:numId="27">
    <w:abstractNumId w:val="14"/>
  </w:num>
  <w:num w:numId="28">
    <w:abstractNumId w:val="6"/>
  </w:num>
  <w:num w:numId="29">
    <w:abstractNumId w:val="8"/>
  </w:num>
  <w:num w:numId="30">
    <w:abstractNumId w:val="30"/>
  </w:num>
  <w:num w:numId="31">
    <w:abstractNumId w:val="19"/>
  </w:num>
  <w:num w:numId="32">
    <w:abstractNumId w:val="5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EE"/>
    <w:rsid w:val="000049B0"/>
    <w:rsid w:val="00006650"/>
    <w:rsid w:val="00023C72"/>
    <w:rsid w:val="00030021"/>
    <w:rsid w:val="00047F84"/>
    <w:rsid w:val="00050DF1"/>
    <w:rsid w:val="000705D2"/>
    <w:rsid w:val="000726D7"/>
    <w:rsid w:val="000B141B"/>
    <w:rsid w:val="000E01C5"/>
    <w:rsid w:val="00122A2F"/>
    <w:rsid w:val="001612EE"/>
    <w:rsid w:val="0017719C"/>
    <w:rsid w:val="001D4C03"/>
    <w:rsid w:val="00200686"/>
    <w:rsid w:val="00232290"/>
    <w:rsid w:val="002602C6"/>
    <w:rsid w:val="002C3865"/>
    <w:rsid w:val="002D18CB"/>
    <w:rsid w:val="002E6E4B"/>
    <w:rsid w:val="002F0679"/>
    <w:rsid w:val="003107E8"/>
    <w:rsid w:val="003627BF"/>
    <w:rsid w:val="00367545"/>
    <w:rsid w:val="00393D4E"/>
    <w:rsid w:val="003C088A"/>
    <w:rsid w:val="003C1194"/>
    <w:rsid w:val="00412D59"/>
    <w:rsid w:val="00442761"/>
    <w:rsid w:val="004646B3"/>
    <w:rsid w:val="004B2D8E"/>
    <w:rsid w:val="00507972"/>
    <w:rsid w:val="0051159B"/>
    <w:rsid w:val="0053161B"/>
    <w:rsid w:val="0054622F"/>
    <w:rsid w:val="00565F28"/>
    <w:rsid w:val="0058080D"/>
    <w:rsid w:val="005C00F2"/>
    <w:rsid w:val="005C07AC"/>
    <w:rsid w:val="005D3F6F"/>
    <w:rsid w:val="005E0EB4"/>
    <w:rsid w:val="005E26C2"/>
    <w:rsid w:val="005F7FC7"/>
    <w:rsid w:val="00620970"/>
    <w:rsid w:val="00626FFF"/>
    <w:rsid w:val="00627D79"/>
    <w:rsid w:val="00645C42"/>
    <w:rsid w:val="006638D8"/>
    <w:rsid w:val="006B165C"/>
    <w:rsid w:val="006D6615"/>
    <w:rsid w:val="006F5220"/>
    <w:rsid w:val="00701F96"/>
    <w:rsid w:val="00715045"/>
    <w:rsid w:val="007178A4"/>
    <w:rsid w:val="00717A46"/>
    <w:rsid w:val="00730344"/>
    <w:rsid w:val="007329A3"/>
    <w:rsid w:val="0075762D"/>
    <w:rsid w:val="007A202F"/>
    <w:rsid w:val="007B32D7"/>
    <w:rsid w:val="007D62A1"/>
    <w:rsid w:val="007E6706"/>
    <w:rsid w:val="007F1FE4"/>
    <w:rsid w:val="007F43C0"/>
    <w:rsid w:val="00810749"/>
    <w:rsid w:val="008451B2"/>
    <w:rsid w:val="00881512"/>
    <w:rsid w:val="008A0825"/>
    <w:rsid w:val="008B3777"/>
    <w:rsid w:val="008B6509"/>
    <w:rsid w:val="008C075A"/>
    <w:rsid w:val="008D6729"/>
    <w:rsid w:val="008F63E9"/>
    <w:rsid w:val="00902067"/>
    <w:rsid w:val="00914CAF"/>
    <w:rsid w:val="00977B7B"/>
    <w:rsid w:val="00997C4E"/>
    <w:rsid w:val="009E5E1F"/>
    <w:rsid w:val="009F1934"/>
    <w:rsid w:val="00A239B8"/>
    <w:rsid w:val="00AB6044"/>
    <w:rsid w:val="00AB7D7B"/>
    <w:rsid w:val="00AD49B2"/>
    <w:rsid w:val="00AE5343"/>
    <w:rsid w:val="00B2635A"/>
    <w:rsid w:val="00B46A23"/>
    <w:rsid w:val="00B51F12"/>
    <w:rsid w:val="00B9034B"/>
    <w:rsid w:val="00B909C5"/>
    <w:rsid w:val="00B92D25"/>
    <w:rsid w:val="00BA5BF6"/>
    <w:rsid w:val="00BB12A3"/>
    <w:rsid w:val="00BD02D0"/>
    <w:rsid w:val="00C00604"/>
    <w:rsid w:val="00C105ED"/>
    <w:rsid w:val="00C166AE"/>
    <w:rsid w:val="00C33BFA"/>
    <w:rsid w:val="00CD27DD"/>
    <w:rsid w:val="00CE2DA1"/>
    <w:rsid w:val="00D01ACC"/>
    <w:rsid w:val="00D333E4"/>
    <w:rsid w:val="00D84B8C"/>
    <w:rsid w:val="00DC34FD"/>
    <w:rsid w:val="00E21ED5"/>
    <w:rsid w:val="00E33FC2"/>
    <w:rsid w:val="00E52494"/>
    <w:rsid w:val="00E65953"/>
    <w:rsid w:val="00E84C46"/>
    <w:rsid w:val="00E86E25"/>
    <w:rsid w:val="00EC7051"/>
    <w:rsid w:val="00ED271B"/>
    <w:rsid w:val="00EF4E32"/>
    <w:rsid w:val="00F36980"/>
    <w:rsid w:val="00F4275E"/>
    <w:rsid w:val="00F43AEE"/>
    <w:rsid w:val="00F70931"/>
    <w:rsid w:val="00FB7958"/>
    <w:rsid w:val="00FD3A3A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D6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6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1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B2635A"/>
    <w:rPr>
      <w:b/>
      <w:bCs/>
    </w:rPr>
  </w:style>
  <w:style w:type="paragraph" w:styleId="a6">
    <w:name w:val="Normal (Web)"/>
    <w:basedOn w:val="a"/>
    <w:unhideWhenUsed/>
    <w:rsid w:val="0051159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D672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D6729"/>
    <w:rPr>
      <w:b/>
      <w:bCs/>
      <w:sz w:val="36"/>
      <w:szCs w:val="36"/>
    </w:rPr>
  </w:style>
  <w:style w:type="character" w:styleId="a7">
    <w:name w:val="Hyperlink"/>
    <w:uiPriority w:val="99"/>
    <w:unhideWhenUsed/>
    <w:rsid w:val="0071504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B51F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ed">
    <w:name w:val="red"/>
    <w:basedOn w:val="a0"/>
    <w:rsid w:val="00B51F12"/>
  </w:style>
  <w:style w:type="character" w:customStyle="1" w:styleId="comment-right-informer-wr">
    <w:name w:val="comment-right-informer-wr"/>
    <w:basedOn w:val="a0"/>
    <w:rsid w:val="00B51F12"/>
  </w:style>
  <w:style w:type="character" w:styleId="a8">
    <w:name w:val="FollowedHyperlink"/>
    <w:basedOn w:val="a0"/>
    <w:rsid w:val="000049B0"/>
    <w:rPr>
      <w:color w:val="800080"/>
      <w:u w:val="single"/>
    </w:rPr>
  </w:style>
  <w:style w:type="paragraph" w:styleId="31">
    <w:name w:val="Body Text 3"/>
    <w:basedOn w:val="a"/>
    <w:link w:val="32"/>
    <w:rsid w:val="00E86E25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rsid w:val="00E86E25"/>
    <w:rPr>
      <w:rFonts w:ascii="Arial" w:hAnsi="Arial"/>
      <w:sz w:val="24"/>
    </w:rPr>
  </w:style>
  <w:style w:type="paragraph" w:styleId="a9">
    <w:name w:val="No Spacing"/>
    <w:uiPriority w:val="1"/>
    <w:qFormat/>
    <w:rsid w:val="00AD49B2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AD49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49B2"/>
    <w:rPr>
      <w:sz w:val="24"/>
      <w:szCs w:val="24"/>
    </w:rPr>
  </w:style>
  <w:style w:type="paragraph" w:styleId="ac">
    <w:name w:val="footer"/>
    <w:basedOn w:val="a"/>
    <w:link w:val="ad"/>
    <w:uiPriority w:val="99"/>
    <w:rsid w:val="00AD49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49B2"/>
    <w:rPr>
      <w:sz w:val="24"/>
      <w:szCs w:val="24"/>
    </w:rPr>
  </w:style>
  <w:style w:type="paragraph" w:styleId="ae">
    <w:name w:val="Balloon Text"/>
    <w:basedOn w:val="a"/>
    <w:link w:val="af"/>
    <w:rsid w:val="001D4C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D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580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847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45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ridz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Inc.</Company>
  <LinksUpToDate>false</LinksUpToDate>
  <CharactersWithSpaces>22163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https://e.otruda.ru/738427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creator>Харламов В.В.</dc:creator>
  <cp:lastModifiedBy>User</cp:lastModifiedBy>
  <cp:revision>13</cp:revision>
  <cp:lastPrinted>2019-09-19T07:43:00Z</cp:lastPrinted>
  <dcterms:created xsi:type="dcterms:W3CDTF">2019-09-26T01:57:00Z</dcterms:created>
  <dcterms:modified xsi:type="dcterms:W3CDTF">2019-10-10T07:52:00Z</dcterms:modified>
</cp:coreProperties>
</file>